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DB5" w:rsidRDefault="00237DB5">
      <w:pPr>
        <w:pStyle w:val="Corpsdetexte"/>
        <w:rPr>
          <w:rFonts w:ascii="Times New Roman"/>
          <w:sz w:val="20"/>
        </w:rPr>
      </w:pPr>
    </w:p>
    <w:p w:rsidR="00237DB5" w:rsidRDefault="00237DB5">
      <w:pPr>
        <w:pStyle w:val="Corpsdetexte"/>
        <w:spacing w:before="2"/>
        <w:rPr>
          <w:rFonts w:ascii="Times New Roman"/>
          <w:sz w:val="28"/>
        </w:rPr>
      </w:pPr>
    </w:p>
    <w:p w:rsidR="00237DB5" w:rsidRDefault="003F3594">
      <w:pPr>
        <w:spacing w:before="100"/>
        <w:ind w:left="193"/>
        <w:rPr>
          <w:sz w:val="24"/>
        </w:rPr>
      </w:pPr>
      <w:r>
        <w:rPr>
          <w:color w:val="595959"/>
          <w:sz w:val="24"/>
        </w:rPr>
        <w:t>DESENVOLVIMENTO DE CAPACIDADES DE ELABORAÇÃO DE LEIS E POLÍTICAS SOBRE DESLOCAÇÕES INTERNAS</w:t>
      </w:r>
    </w:p>
    <w:p w:rsidR="00237DB5" w:rsidRDefault="00237DB5">
      <w:pPr>
        <w:pStyle w:val="Corpsdetexte"/>
        <w:rPr>
          <w:sz w:val="28"/>
        </w:rPr>
      </w:pPr>
    </w:p>
    <w:p w:rsidR="00237DB5" w:rsidRDefault="00237DB5">
      <w:pPr>
        <w:pStyle w:val="Corpsdetexte"/>
        <w:rPr>
          <w:sz w:val="28"/>
        </w:rPr>
      </w:pPr>
    </w:p>
    <w:p w:rsidR="00237DB5" w:rsidRDefault="00237DB5">
      <w:pPr>
        <w:pStyle w:val="Corpsdetexte"/>
        <w:spacing w:before="2"/>
        <w:rPr>
          <w:sz w:val="25"/>
        </w:rPr>
      </w:pPr>
    </w:p>
    <w:p w:rsidR="00237DB5" w:rsidRDefault="003F3594">
      <w:pPr>
        <w:pStyle w:val="Titre"/>
      </w:pPr>
      <w:r>
        <w:rPr>
          <w:color w:val="5B9BD5"/>
        </w:rPr>
        <w:t>SESSÃO 9: IMPLEMENTAÇÃO</w:t>
      </w:r>
    </w:p>
    <w:p w:rsidR="00237DB5" w:rsidRDefault="00237DB5">
      <w:pPr>
        <w:pStyle w:val="Corpsdetexte"/>
        <w:rPr>
          <w:sz w:val="20"/>
        </w:rPr>
      </w:pPr>
    </w:p>
    <w:p w:rsidR="00237DB5" w:rsidRDefault="00237DB5">
      <w:pPr>
        <w:pStyle w:val="Corpsdetexte"/>
        <w:rPr>
          <w:sz w:val="20"/>
        </w:rPr>
      </w:pPr>
    </w:p>
    <w:p w:rsidR="00237DB5" w:rsidRDefault="00237DB5">
      <w:pPr>
        <w:pStyle w:val="Corpsdetexte"/>
        <w:spacing w:before="5"/>
        <w:rPr>
          <w:sz w:val="21"/>
        </w:rPr>
      </w:pPr>
    </w:p>
    <w:p w:rsidR="00237DB5" w:rsidRDefault="003F3594">
      <w:pPr>
        <w:tabs>
          <w:tab w:val="left" w:pos="9351"/>
        </w:tabs>
        <w:spacing w:before="106"/>
        <w:ind w:left="107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5B9BD5"/>
        </w:rPr>
        <w:t xml:space="preserve">  </w:t>
      </w:r>
      <w:r>
        <w:rPr>
          <w:b/>
          <w:color w:val="FFFFFF"/>
          <w:sz w:val="21"/>
          <w:shd w:val="clear" w:color="auto" w:fill="5B9BD5"/>
        </w:rPr>
        <w:t>ESTUDOS DE CASO DO AFEGANISTÃO E DO QUÉNIA</w:t>
      </w:r>
      <w:r>
        <w:rPr>
          <w:b/>
          <w:color w:val="FFFFFF"/>
          <w:sz w:val="21"/>
          <w:shd w:val="clear" w:color="auto" w:fill="5B9BD5"/>
        </w:rPr>
        <w:tab/>
      </w:r>
    </w:p>
    <w:p w:rsidR="00237DB5" w:rsidRDefault="003F3594">
      <w:pPr>
        <w:pStyle w:val="Corpsdetexte"/>
        <w:spacing w:before="3"/>
        <w:rPr>
          <w:b/>
          <w:sz w:val="21"/>
        </w:rPr>
      </w:pPr>
      <w:r>
        <w:pict>
          <v:group id="_x0000_s1053" style="position:absolute;margin-left:66.35pt;margin-top:14.95pt;width:462.25pt;height:36.75pt;z-index:-15728640;mso-wrap-distance-left:0;mso-wrap-distance-right:0;mso-position-horizontal-relative:page" coordorigin="1327,299" coordsize="9245,735">
            <v:shape id="_x0000_s1055" style="position:absolute;left:1327;top:298;width:9245;height:735" coordorigin="1327,299" coordsize="9245,735" path="m10572,299r-58,l1385,299r-58,l1327,357r,307l1327,976r,57l1385,1033r9129,l10572,1033r,-57l10572,664r,-307l10572,299xe" fillcolor="#deeaf6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327;top:298;width:9245;height:735" filled="f" stroked="f">
              <v:textbox inset="0,0,0,0">
                <w:txbxContent>
                  <w:p w:rsidR="00237DB5" w:rsidRDefault="003F3594">
                    <w:pPr>
                      <w:spacing w:before="69" w:line="288" w:lineRule="auto"/>
                      <w:ind w:left="86" w:right="472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ESTRATÉGIAS E PLANOS DE AÇÃO PARA IMPLEMENTAR A POLÍTICA NACIONAL SOBRE AS PDI DO AFEGANISTÃO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37DB5" w:rsidRDefault="00237DB5">
      <w:pPr>
        <w:pStyle w:val="Corpsdetexte"/>
        <w:spacing w:before="11"/>
        <w:rPr>
          <w:b/>
          <w:sz w:val="5"/>
        </w:rPr>
      </w:pPr>
    </w:p>
    <w:p w:rsidR="00237DB5" w:rsidRDefault="003F3594">
      <w:pPr>
        <w:spacing w:before="107" w:line="292" w:lineRule="auto"/>
        <w:ind w:left="193" w:right="301"/>
        <w:rPr>
          <w:i/>
          <w:sz w:val="21"/>
        </w:rPr>
      </w:pPr>
      <w:r>
        <w:rPr>
          <w:i/>
          <w:sz w:val="19"/>
        </w:rPr>
        <w:t>O estudo de caso seguinte baseia-se, em grande medida, no resumo de uma política de 2015 sobre a política nacional sobre as PDI do Afeganistão, publicada por S</w:t>
      </w:r>
      <w:r>
        <w:rPr>
          <w:i/>
          <w:sz w:val="19"/>
        </w:rPr>
        <w:t xml:space="preserve">amuel Hall Consulting, e está disponível em </w:t>
      </w:r>
      <w:hyperlink r:id="rId7">
        <w:r>
          <w:rPr>
            <w:i/>
            <w:color w:val="0563C1"/>
            <w:sz w:val="21"/>
            <w:u w:val="single" w:color="0563C1"/>
          </w:rPr>
          <w:t>http://goo.gl/Lx2TQxk</w:t>
        </w:r>
      </w:hyperlink>
      <w:r>
        <w:t>.</w:t>
      </w:r>
    </w:p>
    <w:p w:rsidR="00237DB5" w:rsidRDefault="003F3594">
      <w:pPr>
        <w:spacing w:before="191" w:line="292" w:lineRule="auto"/>
        <w:ind w:left="193"/>
        <w:rPr>
          <w:i/>
          <w:sz w:val="19"/>
        </w:rPr>
      </w:pPr>
      <w:r>
        <w:rPr>
          <w:i/>
          <w:sz w:val="19"/>
        </w:rPr>
        <w:t>A política representa um roteiro para ação que integra planos de ação provinciais e um plano de implementação nacional.</w:t>
      </w:r>
    </w:p>
    <w:p w:rsidR="00237DB5" w:rsidRDefault="003F3594">
      <w:pPr>
        <w:pStyle w:val="Corpsdetexte"/>
        <w:spacing w:before="9"/>
        <w:rPr>
          <w:i/>
          <w:sz w:val="20"/>
        </w:rPr>
      </w:pPr>
      <w:r>
        <w:pict>
          <v:group id="_x0000_s1050" style="position:absolute;margin-left:66.6pt;margin-top:14.6pt;width:459.15pt;height:18.25pt;z-index:-15728128;mso-wrap-distance-left:0;mso-wrap-distance-right:0;mso-position-horizontal-relative:page" coordorigin="1332,292" coordsize="9183,365">
            <v:shape id="_x0000_s1052" style="position:absolute;left:1332;top:292;width:9183;height:365" coordorigin="1332,292" coordsize="9183,365" path="m10514,292r-9168,l1332,292r,15l1332,657r14,l1346,307r9168,l10514,292xe" fillcolor="#5b9bd5" stroked="f">
              <v:path arrowok="t"/>
            </v:shape>
            <v:shape id="_x0000_s1051" type="#_x0000_t202" style="position:absolute;left:1332;top:292;width:9183;height:365" filled="f" stroked="f">
              <v:textbox inset="0,0,0,0">
                <w:txbxContent>
                  <w:p w:rsidR="00237DB5" w:rsidRDefault="003F3594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1F4D78"/>
                        <w:sz w:val="21"/>
                      </w:rPr>
                      <w:t xml:space="preserve">1. </w:t>
                    </w:r>
                    <w:r>
                      <w:rPr>
                        <w:color w:val="1F4D78"/>
                        <w:sz w:val="21"/>
                      </w:rPr>
                      <w:t>PLANOS DE AÇÃO PROVINCIAIS - GOVERNADORES PROVINCIAIS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37DB5" w:rsidRDefault="00237DB5">
      <w:pPr>
        <w:pStyle w:val="Corpsdetexte"/>
        <w:spacing w:before="11"/>
        <w:rPr>
          <w:i/>
          <w:sz w:val="5"/>
        </w:rPr>
      </w:pPr>
    </w:p>
    <w:p w:rsidR="00237DB5" w:rsidRDefault="003F3594">
      <w:pPr>
        <w:pStyle w:val="Corpsdetexte"/>
        <w:spacing w:before="107" w:line="290" w:lineRule="auto"/>
        <w:ind w:left="193" w:right="301"/>
      </w:pPr>
      <w:r>
        <w:t>A política reconhece as características únicas de cada província e o âmbito, perfil e tendências da deslocação. Será dada prioridade às províncias que acolhem um número significativo de PDIs com um p</w:t>
      </w:r>
      <w:r>
        <w:t>lano de ação centrado em abranger todas as fases da deslocação, incluindo soluções duradouras. Isto é da responsabilidade das autoridades provinciais, sob a liderança do governador provincial e com o apoio do comité provincial de implementação de políticas</w:t>
      </w:r>
      <w:r>
        <w:t xml:space="preserve">, de um organismo de coordenação também presidido pelo governador e com a participação das autoridades locais, representantes dos ministérios de execução, instituições de governação local, comunidade internacional e representantes das PDI e comunidades de </w:t>
      </w:r>
      <w:r>
        <w:t>acolhimento.</w:t>
      </w:r>
    </w:p>
    <w:p w:rsidR="00237DB5" w:rsidRDefault="003F3594">
      <w:pPr>
        <w:pStyle w:val="Corpsdetexte"/>
        <w:spacing w:before="200" w:line="290" w:lineRule="auto"/>
        <w:ind w:left="193" w:right="301"/>
      </w:pPr>
      <w:r>
        <w:t>O roteiro proposto em cada província inclui workshops que servem como plataforma para divulgar informação sobre a política e iniciar a formação do comité provincial de implementação de políticas. O comité terá definido termos de referência, em</w:t>
      </w:r>
      <w:r>
        <w:t xml:space="preserve"> conformidade com a política e estará incumbido de desenvolver e implementar planos de ação provinciais.</w:t>
      </w:r>
    </w:p>
    <w:p w:rsidR="00237DB5" w:rsidRDefault="00237DB5">
      <w:pPr>
        <w:spacing w:line="290" w:lineRule="auto"/>
        <w:sectPr w:rsidR="00237DB5">
          <w:headerReference w:type="default" r:id="rId8"/>
          <w:type w:val="continuous"/>
          <w:pgSz w:w="11900" w:h="16820"/>
          <w:pgMar w:top="1980" w:right="1200" w:bottom="280" w:left="1220" w:header="906" w:footer="720" w:gutter="0"/>
          <w:cols w:space="720"/>
        </w:sectPr>
      </w:pPr>
    </w:p>
    <w:p w:rsidR="00237DB5" w:rsidRDefault="00237DB5">
      <w:pPr>
        <w:pStyle w:val="Corpsdetexte"/>
        <w:spacing w:before="8"/>
        <w:rPr>
          <w:sz w:val="28"/>
        </w:rPr>
      </w:pPr>
    </w:p>
    <w:p w:rsidR="00237DB5" w:rsidRDefault="003F3594">
      <w:pPr>
        <w:spacing w:before="107"/>
        <w:ind w:left="193"/>
        <w:rPr>
          <w:i/>
          <w:sz w:val="19"/>
        </w:rPr>
      </w:pPr>
      <w:r>
        <w:rPr>
          <w:i/>
          <w:sz w:val="19"/>
        </w:rPr>
        <w:t>Figura 1. Roteiro para implementação da política</w:t>
      </w:r>
    </w:p>
    <w:p w:rsidR="00237DB5" w:rsidRDefault="00237DB5">
      <w:pPr>
        <w:pStyle w:val="Corpsdetexte"/>
        <w:rPr>
          <w:i/>
          <w:sz w:val="20"/>
        </w:rPr>
      </w:pPr>
    </w:p>
    <w:p w:rsidR="00237DB5" w:rsidRDefault="003F3594">
      <w:pPr>
        <w:pStyle w:val="Corpsdetexte"/>
        <w:rPr>
          <w:i/>
          <w:sz w:val="26"/>
        </w:rPr>
      </w:pPr>
      <w:r>
        <w:rPr>
          <w:sz w:val="22"/>
        </w:rPr>
        <w:pict>
          <v:group id="_x0000_s1029" style="position:absolute;margin-left:79.1pt;margin-top:11.65pt;width:455.3pt;height:502.85pt;z-index:-15833088;mso-position-horizontal-relative:page" coordorigin="1564,-555" coordsize="9106,10057">
            <v:shape id="_x0000_s1049" style="position:absolute;left:1582;top:-536;width:1498;height:2140" coordorigin="1583,-536" coordsize="1498,2140" path="m3080,-536l2332,213,1583,-536r,1391l2332,1604,3080,855r,-1391xe" fillcolor="#faa757" stroked="f">
              <v:path arrowok="t"/>
            </v:shape>
            <v:shape id="_x0000_s1048" style="position:absolute;left:1582;top:-536;width:1498;height:2140" coordorigin="1583,-536" coordsize="1498,2140" path="m3080,-536r,1391l2332,1604,1583,855r,-1391l2332,213r748,-749xe" filled="f" strokecolor="#c4803f" strokeweight="1.89pt">
              <v:path arrowok="t"/>
            </v:shape>
            <v:shape id="_x0000_s1047" style="position:absolute;left:3080;top:-536;width:7575;height:1391" coordorigin="3080,-536" coordsize="7575,1391" path="m10423,-536r-7343,l3080,855r7343,l10496,843r64,-33l10610,760r33,-63l10655,623r,-927l10643,-377r-33,-64l10560,-491r-64,-33l10423,-536xe" stroked="f">
              <v:fill opacity="59113f"/>
              <v:path arrowok="t"/>
            </v:shape>
            <v:shape id="_x0000_s1046" style="position:absolute;left:3080;top:-536;width:7575;height:1391" coordorigin="3080,-536" coordsize="7575,1391" path="m10655,-304r,927l10643,697r-33,63l10560,810r-64,33l10423,855r-7343,l3080,-536r7343,l10496,-524r64,33l10610,-441r33,64l10655,-304xe" filled="f" strokecolor="#aa5b02" strokeweight=".50006mm">
              <v:path arrowok="t"/>
            </v:shape>
            <v:shape id="_x0000_s1045" style="position:absolute;left:1582;top:1433;width:1498;height:2140" coordorigin="1583,1434" coordsize="1498,2140" path="m3080,1434r-748,749l1583,1434r,1391l2332,3574r748,-749l3080,1434xe" fillcolor="#faa757" stroked="f">
              <v:path arrowok="t"/>
            </v:shape>
            <v:shape id="_x0000_s1044" style="position:absolute;left:1582;top:1433;width:1498;height:2140" coordorigin="1583,1434" coordsize="1498,2140" path="m3080,1434r,1391l2332,3574,1583,2825r,-1391l2332,2183r748,-749xe" filled="f" strokecolor="#c4803f" strokeweight="1.89pt">
              <v:path arrowok="t"/>
            </v:shape>
            <v:shape id="_x0000_s1043" style="position:absolute;left:3080;top:1433;width:7575;height:1391" coordorigin="3080,1434" coordsize="7575,1391" path="m10423,1434r-7343,l3080,2825r7343,l10496,2813r64,-33l10610,2730r33,-64l10655,2593r,-927l10643,1592r-33,-63l10560,1479r-64,-33l10423,1434xe" stroked="f">
              <v:fill opacity="59113f"/>
              <v:path arrowok="t"/>
            </v:shape>
            <v:shape id="_x0000_s1042" style="position:absolute;left:3080;top:1433;width:7575;height:1391" coordorigin="3080,1434" coordsize="7575,1391" path="m10655,1666r,927l10643,2666r-33,64l10560,2780r-64,33l10423,2825r-7343,l3080,1434r7343,l10496,1446r64,33l10610,1529r33,63l10655,1666xe" filled="f" strokecolor="#aa5b02" strokeweight=".50006mm">
              <v:path arrowok="t"/>
            </v:shape>
            <v:shape id="_x0000_s1041" style="position:absolute;left:1582;top:3403;width:1498;height:2140" coordorigin="1583,3404" coordsize="1498,2140" path="m3080,3404r-748,749l1583,3404r,1391l2332,5543r748,-748l3080,3404xe" fillcolor="#faa757" stroked="f">
              <v:path arrowok="t"/>
            </v:shape>
            <v:shape id="_x0000_s1040" style="position:absolute;left:1582;top:3403;width:1498;height:2140" coordorigin="1583,3404" coordsize="1498,2140" path="m3080,3404r,1391l2332,5543,1583,4795r,-1391l2332,4153r748,-749xe" filled="f" strokecolor="#c4803f" strokeweight="1.89pt">
              <v:path arrowok="t"/>
            </v:shape>
            <v:shape id="_x0000_s1039" style="position:absolute;left:3080;top:3403;width:7575;height:1391" coordorigin="3080,3404" coordsize="7575,1391" path="m10423,3404r-7343,l3080,4794r7343,l10496,4783r64,-33l10610,4700r33,-64l10655,4563r,-928l10643,3562r-33,-63l10560,3448r-64,-33l10423,3404xe" stroked="f">
              <v:fill opacity="59113f"/>
              <v:path arrowok="t"/>
            </v:shape>
            <v:shape id="_x0000_s1038" style="position:absolute;left:3080;top:3403;width:7575;height:1391" coordorigin="3080,3404" coordsize="7575,1391" path="m10655,3635r,928l10643,4636r-33,64l10560,4750r-64,33l10423,4795r-7343,l3080,3404r7343,l10496,3415r64,33l10610,3499r33,63l10655,3635xe" filled="f" strokecolor="#aa5b02" strokeweight=".50006mm">
              <v:path arrowok="t"/>
            </v:shape>
            <v:shape id="_x0000_s1037" style="position:absolute;left:1582;top:5373;width:1498;height:2140" coordorigin="1583,5373" coordsize="1498,2140" path="m3080,5373r-748,749l1583,5373r,1391l2332,7513r748,-749l3080,5373xe" fillcolor="#faa757" stroked="f">
              <v:path arrowok="t"/>
            </v:shape>
            <v:shape id="_x0000_s1036" style="position:absolute;left:1582;top:5373;width:1498;height:2140" coordorigin="1583,5373" coordsize="1498,2140" path="m3080,5373r,1391l2332,7513,1583,6764r,-1391l2332,6122r748,-749xe" filled="f" strokecolor="#c4803f" strokeweight="1.89pt">
              <v:path arrowok="t"/>
            </v:shape>
            <v:shape id="_x0000_s1035" style="position:absolute;left:3080;top:5373;width:7575;height:1391" coordorigin="3080,5373" coordsize="7575,1391" path="m10423,5373r-7343,l3080,6764r7343,l10496,6752r64,-33l10610,6669r33,-63l10655,6532r,-927l10643,5532r-33,-64l10560,5418r-64,-33l10423,5373xe" stroked="f">
              <v:fill opacity="59113f"/>
              <v:path arrowok="t"/>
            </v:shape>
            <v:shape id="_x0000_s1034" style="position:absolute;left:3080;top:5373;width:7575;height:1391" coordorigin="3080,5373" coordsize="7575,1391" path="m10655,5605r,927l10643,6606r-33,63l10560,6719r-64,33l10423,6764r-7343,l3080,5373r7343,l10496,5385r64,33l10610,5468r33,64l10655,5605xe" filled="f" strokecolor="#aa5b02" strokeweight=".50006mm">
              <v:path arrowok="t"/>
            </v:shape>
            <v:shape id="_x0000_s1033" style="position:absolute;left:1582;top:7343;width:1498;height:2140" coordorigin="1583,7343" coordsize="1498,2140" path="m3080,7343r-748,749l1583,7343r,1391l2332,9483r748,-749l3080,7343xe" fillcolor="#faa757" stroked="f">
              <v:path arrowok="t"/>
            </v:shape>
            <v:shape id="_x0000_s1032" style="position:absolute;left:1582;top:7343;width:1498;height:2140" coordorigin="1583,7343" coordsize="1498,2140" path="m3080,7343r,1391l2332,9483,1583,8734r,-1391l2332,8092r748,-749xe" filled="f" strokecolor="#c4803f" strokeweight="1.89pt">
              <v:path arrowok="t"/>
            </v:shape>
            <v:shape id="_x0000_s1031" style="position:absolute;left:3080;top:7343;width:7575;height:1391" coordorigin="3080,7343" coordsize="7575,1391" path="m10423,7343r-7343,l3080,8734r7343,l10496,8722r64,-33l10610,8639r33,-64l10655,8502r,-927l10643,7502r-33,-64l10560,7388r-64,-33l10423,7343xe" stroked="f">
              <v:fill opacity="59113f"/>
              <v:path arrowok="t"/>
            </v:shape>
            <v:shape id="_x0000_s1030" style="position:absolute;left:3080;top:7343;width:7575;height:1391" coordorigin="3080,7343" coordsize="7575,1391" path="m10655,7575r,927l10643,8575r-33,64l10560,8689r-64,33l10423,8734r-7343,l3080,7343r7343,l10496,7355r64,33l10610,7438r33,64l10655,7575xe" filled="f" strokecolor="#aa5b02" strokeweight=".50006mm">
              <v:path arrowok="t"/>
            </v:shape>
            <w10:wrap anchorx="page"/>
          </v:group>
        </w:pict>
      </w:r>
    </w:p>
    <w:p w:rsidR="00237DB5" w:rsidRDefault="00237DB5">
      <w:pPr>
        <w:rPr>
          <w:sz w:val="26"/>
        </w:rPr>
        <w:sectPr w:rsidR="00237DB5">
          <w:pgSz w:w="11900" w:h="16820"/>
          <w:pgMar w:top="1980" w:right="1200" w:bottom="280" w:left="1220" w:header="906" w:footer="0" w:gutter="0"/>
          <w:cols w:space="720"/>
        </w:sectPr>
      </w:pPr>
    </w:p>
    <w:p w:rsidR="00237DB5" w:rsidRDefault="00237DB5" w:rsidP="003F3594">
      <w:pPr>
        <w:pStyle w:val="Corpsdetexte"/>
        <w:rPr>
          <w:i/>
          <w:sz w:val="22"/>
        </w:rPr>
      </w:pPr>
    </w:p>
    <w:p w:rsidR="00237DB5" w:rsidRDefault="00237DB5" w:rsidP="003F3594">
      <w:pPr>
        <w:pStyle w:val="Corpsdetexte"/>
        <w:spacing w:before="3"/>
        <w:rPr>
          <w:i/>
          <w:sz w:val="30"/>
        </w:rPr>
      </w:pPr>
    </w:p>
    <w:p w:rsidR="00237DB5" w:rsidRDefault="003F3594" w:rsidP="003F3594">
      <w:pPr>
        <w:spacing w:before="1" w:line="206" w:lineRule="auto"/>
        <w:ind w:left="513"/>
        <w:jc w:val="center"/>
        <w:rPr>
          <w:b/>
          <w:sz w:val="19"/>
        </w:rPr>
      </w:pPr>
      <w:r>
        <w:rPr>
          <w:b/>
          <w:color w:val="984807"/>
          <w:sz w:val="19"/>
        </w:rPr>
        <w:t>Nível nacional - apresentar a política</w:t>
      </w:r>
    </w:p>
    <w:p w:rsidR="00237DB5" w:rsidRDefault="003F3594" w:rsidP="003F3594">
      <w:pPr>
        <w:pStyle w:val="Titre1"/>
        <w:numPr>
          <w:ilvl w:val="0"/>
          <w:numId w:val="3"/>
        </w:numPr>
        <w:tabs>
          <w:tab w:val="left" w:pos="409"/>
        </w:tabs>
        <w:spacing w:before="105"/>
      </w:pPr>
      <w:r>
        <w:br w:type="column"/>
        <w:t>Sensibilizar para a política.</w:t>
      </w:r>
    </w:p>
    <w:p w:rsidR="00237DB5" w:rsidRDefault="003F3594" w:rsidP="003F3594">
      <w:pPr>
        <w:pStyle w:val="Paragraphedeliste"/>
        <w:numPr>
          <w:ilvl w:val="0"/>
          <w:numId w:val="3"/>
        </w:numPr>
        <w:tabs>
          <w:tab w:val="left" w:pos="409"/>
        </w:tabs>
        <w:spacing w:before="10"/>
        <w:rPr>
          <w:sz w:val="24"/>
        </w:rPr>
      </w:pPr>
      <w:r>
        <w:rPr>
          <w:sz w:val="24"/>
        </w:rPr>
        <w:t>Desenvolver materiais para maior divulgação da política</w:t>
      </w:r>
      <w:r>
        <w:rPr>
          <w:sz w:val="24"/>
        </w:rPr>
        <w:t>.</w:t>
      </w:r>
    </w:p>
    <w:p w:rsidR="00237DB5" w:rsidRDefault="003F3594" w:rsidP="003F3594">
      <w:pPr>
        <w:pStyle w:val="Titre1"/>
        <w:numPr>
          <w:ilvl w:val="0"/>
          <w:numId w:val="3"/>
        </w:numPr>
        <w:tabs>
          <w:tab w:val="left" w:pos="409"/>
        </w:tabs>
      </w:pPr>
      <w:r>
        <w:t>Identificar os principais agentes especificados na política e interagir com os mesmos.</w:t>
      </w:r>
    </w:p>
    <w:p w:rsidR="00237DB5" w:rsidRDefault="00237DB5" w:rsidP="003F3594">
      <w:pPr>
        <w:sectPr w:rsidR="00237DB5">
          <w:type w:val="continuous"/>
          <w:pgSz w:w="11900" w:h="16820"/>
          <w:pgMar w:top="1980" w:right="1200" w:bottom="280" w:left="1220" w:header="720" w:footer="720" w:gutter="0"/>
          <w:cols w:num="2" w:space="720" w:equalWidth="0">
            <w:col w:w="1721" w:space="40"/>
            <w:col w:w="7719"/>
          </w:cols>
        </w:sect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rPr>
          <w:sz w:val="20"/>
        </w:rPr>
        <w:sectPr w:rsidR="00237DB5">
          <w:type w:val="continuous"/>
          <w:pgSz w:w="11900" w:h="16820"/>
          <w:pgMar w:top="1980" w:right="1200" w:bottom="280" w:left="1220" w:header="720" w:footer="720" w:gutter="0"/>
          <w:cols w:space="720"/>
        </w:sectPr>
      </w:pPr>
    </w:p>
    <w:p w:rsidR="00237DB5" w:rsidRDefault="00237DB5" w:rsidP="003F3594">
      <w:pPr>
        <w:pStyle w:val="Corpsdetexte"/>
        <w:rPr>
          <w:sz w:val="22"/>
        </w:rPr>
      </w:pPr>
    </w:p>
    <w:p w:rsidR="00237DB5" w:rsidRDefault="00237DB5" w:rsidP="003F3594">
      <w:pPr>
        <w:pStyle w:val="Corpsdetexte"/>
        <w:rPr>
          <w:sz w:val="22"/>
        </w:rPr>
      </w:pPr>
    </w:p>
    <w:p w:rsidR="00237DB5" w:rsidRDefault="00237DB5" w:rsidP="003F3594">
      <w:pPr>
        <w:pStyle w:val="Corpsdetexte"/>
        <w:spacing w:before="11"/>
        <w:rPr>
          <w:sz w:val="22"/>
        </w:rPr>
      </w:pPr>
    </w:p>
    <w:p w:rsidR="00237DB5" w:rsidRDefault="003F3594" w:rsidP="003F3594">
      <w:pPr>
        <w:spacing w:before="1"/>
        <w:ind w:left="490"/>
        <w:jc w:val="center"/>
        <w:rPr>
          <w:b/>
          <w:sz w:val="19"/>
        </w:rPr>
      </w:pPr>
      <w:r>
        <w:rPr>
          <w:b/>
          <w:color w:val="984807"/>
          <w:sz w:val="19"/>
        </w:rPr>
        <w:t>Planos-piloto provinciais</w:t>
      </w:r>
    </w:p>
    <w:p w:rsidR="00237DB5" w:rsidRDefault="003F3594" w:rsidP="003F3594">
      <w:pPr>
        <w:pStyle w:val="Titre1"/>
        <w:numPr>
          <w:ilvl w:val="0"/>
          <w:numId w:val="3"/>
        </w:numPr>
        <w:tabs>
          <w:tab w:val="left" w:pos="388"/>
        </w:tabs>
        <w:spacing w:before="260"/>
        <w:ind w:left="387"/>
      </w:pPr>
      <w:r>
        <w:br w:type="column"/>
      </w:r>
      <w:r>
        <w:t xml:space="preserve">Desenvolvimento de planos de </w:t>
      </w:r>
      <w:bookmarkStart w:id="0" w:name="_GoBack"/>
      <w:bookmarkEnd w:id="0"/>
      <w:r>
        <w:t>ação provinciais nas “províncias-piloto”.</w:t>
      </w:r>
    </w:p>
    <w:p w:rsidR="00237DB5" w:rsidRDefault="003F3594" w:rsidP="003F3594">
      <w:pPr>
        <w:pStyle w:val="Paragraphedeliste"/>
        <w:numPr>
          <w:ilvl w:val="0"/>
          <w:numId w:val="3"/>
        </w:numPr>
        <w:tabs>
          <w:tab w:val="left" w:pos="388"/>
        </w:tabs>
        <w:spacing w:before="10"/>
        <w:ind w:left="387"/>
        <w:rPr>
          <w:sz w:val="24"/>
        </w:rPr>
      </w:pPr>
      <w:r>
        <w:rPr>
          <w:sz w:val="24"/>
        </w:rPr>
        <w:t>Estabelecimento do Comité Provincial de Implementação de Políticas para as PDI.</w:t>
      </w:r>
    </w:p>
    <w:p w:rsidR="00237DB5" w:rsidRDefault="00237DB5" w:rsidP="003F3594">
      <w:pPr>
        <w:rPr>
          <w:sz w:val="24"/>
        </w:rPr>
        <w:sectPr w:rsidR="00237DB5">
          <w:type w:val="continuous"/>
          <w:pgSz w:w="11900" w:h="16820"/>
          <w:pgMar w:top="1980" w:right="1200" w:bottom="280" w:left="1220" w:header="720" w:footer="720" w:gutter="0"/>
          <w:cols w:num="2" w:space="720" w:equalWidth="0">
            <w:col w:w="1741" w:space="40"/>
            <w:col w:w="7699"/>
          </w:cols>
        </w:sect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spacing w:before="10"/>
        <w:rPr>
          <w:sz w:val="29"/>
        </w:rPr>
      </w:pPr>
    </w:p>
    <w:p w:rsidR="00237DB5" w:rsidRDefault="00237DB5" w:rsidP="003F3594">
      <w:pPr>
        <w:rPr>
          <w:sz w:val="29"/>
        </w:rPr>
        <w:sectPr w:rsidR="00237DB5">
          <w:type w:val="continuous"/>
          <w:pgSz w:w="11900" w:h="16820"/>
          <w:pgMar w:top="1980" w:right="1200" w:bottom="280" w:left="1220" w:header="720" w:footer="720" w:gutter="0"/>
          <w:cols w:space="720"/>
        </w:sectPr>
      </w:pPr>
    </w:p>
    <w:p w:rsidR="00237DB5" w:rsidRDefault="00237DB5" w:rsidP="003F3594">
      <w:pPr>
        <w:pStyle w:val="Corpsdetexte"/>
        <w:rPr>
          <w:sz w:val="22"/>
        </w:rPr>
      </w:pPr>
    </w:p>
    <w:p w:rsidR="00237DB5" w:rsidRDefault="003F3594" w:rsidP="003F3594">
      <w:pPr>
        <w:spacing w:line="194" w:lineRule="auto"/>
        <w:ind w:left="745" w:hanging="366"/>
        <w:jc w:val="center"/>
        <w:rPr>
          <w:b/>
          <w:sz w:val="19"/>
        </w:rPr>
      </w:pPr>
      <w:r>
        <w:rPr>
          <w:b/>
          <w:color w:val="984807"/>
          <w:sz w:val="19"/>
        </w:rPr>
        <w:t>Nível nacional - publicar os planos-piloto</w:t>
      </w:r>
    </w:p>
    <w:p w:rsidR="00237DB5" w:rsidRDefault="003F3594" w:rsidP="003F3594">
      <w:pPr>
        <w:pStyle w:val="Titre1"/>
        <w:numPr>
          <w:ilvl w:val="0"/>
          <w:numId w:val="2"/>
        </w:numPr>
        <w:tabs>
          <w:tab w:val="left" w:pos="275"/>
        </w:tabs>
        <w:spacing w:before="0" w:line="216" w:lineRule="auto"/>
      </w:pPr>
      <w:r>
        <w:br w:type="column"/>
      </w:r>
      <w:r>
        <w:t>Workshop ao nível nacional a agendar para as lições aprendidas e a identificação do</w:t>
      </w:r>
      <w:r>
        <w:t xml:space="preserve"> próximo conjunto de províncias para a implantação da política.</w:t>
      </w:r>
    </w:p>
    <w:p w:rsidR="00237DB5" w:rsidRDefault="00237DB5" w:rsidP="003F3594">
      <w:pPr>
        <w:spacing w:line="216" w:lineRule="auto"/>
        <w:sectPr w:rsidR="00237DB5">
          <w:type w:val="continuous"/>
          <w:pgSz w:w="11900" w:h="16820"/>
          <w:pgMar w:top="1980" w:right="1200" w:bottom="280" w:left="1220" w:header="720" w:footer="720" w:gutter="0"/>
          <w:cols w:num="2" w:space="720" w:equalWidth="0">
            <w:col w:w="1854" w:space="40"/>
            <w:col w:w="7586"/>
          </w:cols>
        </w:sect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spacing w:before="10"/>
        <w:rPr>
          <w:sz w:val="21"/>
        </w:rPr>
      </w:pPr>
    </w:p>
    <w:p w:rsidR="00237DB5" w:rsidRDefault="00237DB5" w:rsidP="003F3594">
      <w:pPr>
        <w:rPr>
          <w:sz w:val="21"/>
        </w:rPr>
        <w:sectPr w:rsidR="00237DB5">
          <w:type w:val="continuous"/>
          <w:pgSz w:w="11900" w:h="16820"/>
          <w:pgMar w:top="1980" w:right="1200" w:bottom="280" w:left="1220" w:header="720" w:footer="720" w:gutter="0"/>
          <w:cols w:space="720"/>
        </w:sectPr>
      </w:pPr>
    </w:p>
    <w:p w:rsidR="00237DB5" w:rsidRDefault="00237DB5" w:rsidP="003F3594">
      <w:pPr>
        <w:pStyle w:val="Corpsdetexte"/>
        <w:rPr>
          <w:sz w:val="22"/>
        </w:rPr>
      </w:pPr>
    </w:p>
    <w:p w:rsidR="00237DB5" w:rsidRDefault="00237DB5" w:rsidP="003F3594">
      <w:pPr>
        <w:pStyle w:val="Corpsdetexte"/>
        <w:spacing w:before="9"/>
        <w:rPr>
          <w:sz w:val="26"/>
        </w:rPr>
      </w:pPr>
    </w:p>
    <w:p w:rsidR="00237DB5" w:rsidRDefault="003F3594" w:rsidP="003F3594">
      <w:pPr>
        <w:spacing w:line="194" w:lineRule="auto"/>
        <w:ind w:left="522" w:firstLine="88"/>
        <w:jc w:val="center"/>
        <w:rPr>
          <w:b/>
          <w:sz w:val="19"/>
        </w:rPr>
      </w:pPr>
      <w:r>
        <w:rPr>
          <w:b/>
          <w:color w:val="984807"/>
          <w:sz w:val="19"/>
        </w:rPr>
        <w:t>Nível nacional e provincial</w:t>
      </w:r>
    </w:p>
    <w:p w:rsidR="00237DB5" w:rsidRDefault="003F3594" w:rsidP="003F3594">
      <w:pPr>
        <w:pStyle w:val="Titre1"/>
        <w:numPr>
          <w:ilvl w:val="1"/>
          <w:numId w:val="2"/>
        </w:numPr>
        <w:tabs>
          <w:tab w:val="left" w:pos="420"/>
        </w:tabs>
        <w:spacing w:before="106"/>
      </w:pPr>
      <w:r>
        <w:br w:type="column"/>
      </w:r>
      <w:r>
        <w:t>Apresentar os três planos-piloto de ação provincial para financiamento.</w:t>
      </w:r>
    </w:p>
    <w:p w:rsidR="00237DB5" w:rsidRDefault="003F3594" w:rsidP="003F3594">
      <w:pPr>
        <w:pStyle w:val="Paragraphedeliste"/>
        <w:numPr>
          <w:ilvl w:val="1"/>
          <w:numId w:val="2"/>
        </w:numPr>
        <w:tabs>
          <w:tab w:val="left" w:pos="420"/>
        </w:tabs>
        <w:spacing w:before="9"/>
        <w:rPr>
          <w:sz w:val="24"/>
        </w:rPr>
      </w:pPr>
      <w:r>
        <w:rPr>
          <w:sz w:val="24"/>
        </w:rPr>
        <w:t>Incorporar os três planos-piloto provinciais nos orçamentos provinciais.</w:t>
      </w:r>
    </w:p>
    <w:p w:rsidR="00237DB5" w:rsidRDefault="00237DB5" w:rsidP="003F3594">
      <w:pPr>
        <w:rPr>
          <w:sz w:val="24"/>
        </w:rPr>
        <w:sectPr w:rsidR="00237DB5">
          <w:type w:val="continuous"/>
          <w:pgSz w:w="11900" w:h="16820"/>
          <w:pgMar w:top="1980" w:right="1200" w:bottom="280" w:left="1220" w:header="720" w:footer="720" w:gutter="0"/>
          <w:cols w:num="2" w:space="720" w:equalWidth="0">
            <w:col w:w="1709" w:space="40"/>
            <w:col w:w="7731"/>
          </w:cols>
        </w:sect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pStyle w:val="Corpsdetexte"/>
        <w:rPr>
          <w:sz w:val="20"/>
        </w:rPr>
      </w:pPr>
    </w:p>
    <w:p w:rsidR="00237DB5" w:rsidRDefault="00237DB5" w:rsidP="003F3594">
      <w:pPr>
        <w:rPr>
          <w:sz w:val="20"/>
        </w:rPr>
        <w:sectPr w:rsidR="00237DB5">
          <w:type w:val="continuous"/>
          <w:pgSz w:w="11900" w:h="16820"/>
          <w:pgMar w:top="1980" w:right="1200" w:bottom="280" w:left="1220" w:header="720" w:footer="720" w:gutter="0"/>
          <w:cols w:space="720"/>
        </w:sectPr>
      </w:pPr>
    </w:p>
    <w:p w:rsidR="00237DB5" w:rsidRDefault="00237DB5" w:rsidP="003F3594">
      <w:pPr>
        <w:pStyle w:val="Corpsdetexte"/>
        <w:rPr>
          <w:sz w:val="22"/>
        </w:rPr>
      </w:pPr>
    </w:p>
    <w:p w:rsidR="00237DB5" w:rsidRDefault="00237DB5" w:rsidP="003F3594">
      <w:pPr>
        <w:pStyle w:val="Corpsdetexte"/>
        <w:rPr>
          <w:sz w:val="22"/>
        </w:rPr>
      </w:pPr>
    </w:p>
    <w:p w:rsidR="00237DB5" w:rsidRDefault="003F3594" w:rsidP="003F3594">
      <w:pPr>
        <w:spacing w:before="148"/>
        <w:ind w:left="573"/>
        <w:jc w:val="center"/>
        <w:rPr>
          <w:b/>
          <w:sz w:val="19"/>
        </w:rPr>
      </w:pPr>
      <w:r>
        <w:rPr>
          <w:b/>
          <w:color w:val="984807"/>
          <w:sz w:val="19"/>
        </w:rPr>
        <w:t>Nível nacional</w:t>
      </w:r>
    </w:p>
    <w:p w:rsidR="00237DB5" w:rsidRDefault="003F3594" w:rsidP="003F3594">
      <w:pPr>
        <w:pStyle w:val="Corpsdetexte"/>
        <w:spacing w:before="2"/>
        <w:rPr>
          <w:b/>
          <w:sz w:val="23"/>
        </w:rPr>
      </w:pPr>
      <w:r>
        <w:br w:type="column"/>
      </w:r>
    </w:p>
    <w:p w:rsidR="00237DB5" w:rsidRDefault="003F3594" w:rsidP="003F3594">
      <w:pPr>
        <w:pStyle w:val="Titre1"/>
        <w:numPr>
          <w:ilvl w:val="1"/>
          <w:numId w:val="2"/>
        </w:numPr>
        <w:tabs>
          <w:tab w:val="left" w:pos="468"/>
        </w:tabs>
        <w:spacing w:before="0"/>
        <w:ind w:left="467"/>
      </w:pPr>
      <w:r>
        <w:t>Retificar a política de acordo com as novas e</w:t>
      </w:r>
      <w:r>
        <w:t>struturas governamentais</w:t>
      </w:r>
    </w:p>
    <w:p w:rsidR="00237DB5" w:rsidRDefault="00237DB5">
      <w:pPr>
        <w:sectPr w:rsidR="00237DB5">
          <w:type w:val="continuous"/>
          <w:pgSz w:w="11900" w:h="16820"/>
          <w:pgMar w:top="1980" w:right="1200" w:bottom="280" w:left="1220" w:header="720" w:footer="720" w:gutter="0"/>
          <w:cols w:num="2" w:space="720" w:equalWidth="0">
            <w:col w:w="1661" w:space="40"/>
            <w:col w:w="7779"/>
          </w:cols>
        </w:sectPr>
      </w:pPr>
    </w:p>
    <w:p w:rsidR="00237DB5" w:rsidRDefault="00237DB5">
      <w:pPr>
        <w:pStyle w:val="Corpsdetexte"/>
        <w:rPr>
          <w:sz w:val="20"/>
        </w:rPr>
      </w:pPr>
    </w:p>
    <w:p w:rsidR="00237DB5" w:rsidRDefault="00237DB5">
      <w:pPr>
        <w:pStyle w:val="Corpsdetexte"/>
        <w:rPr>
          <w:sz w:val="20"/>
        </w:rPr>
      </w:pPr>
    </w:p>
    <w:p w:rsidR="00237DB5" w:rsidRDefault="00237DB5">
      <w:pPr>
        <w:pStyle w:val="Corpsdetexte"/>
        <w:rPr>
          <w:sz w:val="20"/>
        </w:rPr>
      </w:pPr>
    </w:p>
    <w:p w:rsidR="00237DB5" w:rsidRDefault="00237DB5">
      <w:pPr>
        <w:pStyle w:val="Corpsdetexte"/>
        <w:spacing w:before="5" w:after="1"/>
        <w:rPr>
          <w:sz w:val="24"/>
        </w:rPr>
      </w:pPr>
    </w:p>
    <w:p w:rsidR="00237DB5" w:rsidRDefault="003F3594">
      <w:pPr>
        <w:pStyle w:val="Corpsdetexte"/>
        <w:ind w:left="11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59.15pt;height:18pt;mso-position-horizontal-relative:char;mso-position-vertical-relative:line" coordsize="9183,360">
            <v:shape id="_x0000_s1028" style="position:absolute;width:9183;height:360" coordsize="9183,360" path="m9182,l14,,,,,14,,360r14,l14,14r9168,l9182,xe" fillcolor="#5b9bd5" stroked="f">
              <v:path arrowok="t"/>
            </v:shape>
            <v:shape id="_x0000_s1027" type="#_x0000_t202" style="position:absolute;width:9183;height:360" filled="f" stroked="f">
              <v:textbox inset="0,0,0,0">
                <w:txbxContent>
                  <w:p w:rsidR="00237DB5" w:rsidRDefault="003F3594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1F4D78"/>
                        <w:sz w:val="21"/>
                      </w:rPr>
                      <w:t xml:space="preserve">2. </w:t>
                    </w:r>
                    <w:r>
                      <w:rPr>
                        <w:color w:val="1F4D78"/>
                        <w:sz w:val="21"/>
                      </w:rPr>
                      <w:t>FINANCIAMENTO, MONITORIZAÇÃO E RELATÓRIO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37DB5" w:rsidRDefault="00237DB5">
      <w:pPr>
        <w:pStyle w:val="Corpsdetexte"/>
        <w:spacing w:before="10"/>
        <w:rPr>
          <w:sz w:val="5"/>
        </w:rPr>
      </w:pPr>
    </w:p>
    <w:p w:rsidR="00237DB5" w:rsidRDefault="003F3594">
      <w:pPr>
        <w:pStyle w:val="Corpsdetexte"/>
        <w:spacing w:before="107"/>
        <w:ind w:left="193"/>
      </w:pPr>
      <w:r>
        <w:t>Para permitir uma implementação eficaz da política, os seguintes requisitos devem ser garantidos:</w:t>
      </w:r>
    </w:p>
    <w:p w:rsidR="00237DB5" w:rsidRDefault="00237DB5">
      <w:pPr>
        <w:pStyle w:val="Corpsdetexte"/>
        <w:spacing w:before="8"/>
        <w:rPr>
          <w:sz w:val="20"/>
        </w:rPr>
      </w:pPr>
    </w:p>
    <w:p w:rsidR="00237DB5" w:rsidRDefault="003F3594">
      <w:pPr>
        <w:pStyle w:val="Paragraphedeliste"/>
        <w:numPr>
          <w:ilvl w:val="2"/>
          <w:numId w:val="2"/>
        </w:numPr>
        <w:tabs>
          <w:tab w:val="left" w:pos="913"/>
          <w:tab w:val="left" w:pos="914"/>
        </w:tabs>
        <w:spacing w:line="290" w:lineRule="auto"/>
        <w:ind w:right="249"/>
        <w:rPr>
          <w:sz w:val="19"/>
        </w:rPr>
      </w:pPr>
      <w:r>
        <w:rPr>
          <w:color w:val="1F4D78"/>
          <w:sz w:val="19"/>
        </w:rPr>
        <w:t xml:space="preserve">REQUISITOS DE FINANCIAMENTO: </w:t>
      </w:r>
      <w:r>
        <w:rPr>
          <w:sz w:val="19"/>
        </w:rPr>
        <w:t>o Ministério das Finanças (MdF) atribuirá um orçamento e financiamento aos ministérios de execução para responder às necessidades das PDI e das comunidades de acolhimento, de acordo com os planos de ação provinciais propostos e tendo em consideração a situ</w:t>
      </w:r>
      <w:r>
        <w:rPr>
          <w:sz w:val="19"/>
        </w:rPr>
        <w:t>ação específica das províncias. O MdF também reforçará a capacidade orçamental do Ministério de Refugiados e Repatriação (MdRR) e pode atribuir ou designar um fundo fiduciário ou rubrica orçamental nacional para as PDI.</w:t>
      </w:r>
    </w:p>
    <w:p w:rsidR="00237DB5" w:rsidRDefault="003F3594">
      <w:pPr>
        <w:pStyle w:val="Paragraphedeliste"/>
        <w:numPr>
          <w:ilvl w:val="2"/>
          <w:numId w:val="2"/>
        </w:numPr>
        <w:tabs>
          <w:tab w:val="left" w:pos="913"/>
          <w:tab w:val="left" w:pos="914"/>
        </w:tabs>
        <w:spacing w:before="4" w:line="288" w:lineRule="auto"/>
        <w:ind w:right="234"/>
        <w:rPr>
          <w:sz w:val="19"/>
        </w:rPr>
      </w:pPr>
      <w:r>
        <w:rPr>
          <w:color w:val="1F4D78"/>
          <w:sz w:val="19"/>
        </w:rPr>
        <w:t xml:space="preserve">REQUISITOS LEGAIS: </w:t>
      </w:r>
      <w:r>
        <w:rPr>
          <w:sz w:val="19"/>
        </w:rPr>
        <w:t>o Ministério da J</w:t>
      </w:r>
      <w:r>
        <w:rPr>
          <w:sz w:val="19"/>
        </w:rPr>
        <w:t>ustiça analisará a legislação para assegurar que as disposições existentes são alteradas ou a nova legislação é redigida, incluindo para garantir a não discriminação das PDI.</w:t>
      </w:r>
    </w:p>
    <w:p w:rsidR="00237DB5" w:rsidRDefault="003F3594">
      <w:pPr>
        <w:pStyle w:val="Paragraphedeliste"/>
        <w:numPr>
          <w:ilvl w:val="2"/>
          <w:numId w:val="2"/>
        </w:numPr>
        <w:tabs>
          <w:tab w:val="left" w:pos="913"/>
          <w:tab w:val="left" w:pos="914"/>
        </w:tabs>
        <w:spacing w:before="5" w:line="290" w:lineRule="auto"/>
        <w:ind w:right="258"/>
        <w:rPr>
          <w:sz w:val="19"/>
        </w:rPr>
      </w:pPr>
      <w:r>
        <w:rPr>
          <w:color w:val="1F4D78"/>
          <w:sz w:val="19"/>
        </w:rPr>
        <w:t xml:space="preserve">REQUISITOS DE MONITORIZAÇÃO E RELATÓRIO: </w:t>
      </w:r>
      <w:r>
        <w:rPr>
          <w:sz w:val="19"/>
        </w:rPr>
        <w:t>a implementação da política é monitoriza</w:t>
      </w:r>
      <w:r>
        <w:rPr>
          <w:sz w:val="19"/>
        </w:rPr>
        <w:t>da por um mecanismo de supervisão aberto estabelecido pelo MdRR, em conjunto com a Comissão Independente de Direitos Humanos do Afeganistão (CIDHA) e a unidade de monitorização e avaliação do gabinete administrativo do presidente. O processo de monitorizaç</w:t>
      </w:r>
      <w:r>
        <w:rPr>
          <w:sz w:val="19"/>
        </w:rPr>
        <w:t>ão considerará e consolidará as lições aprendidas com o processo de implementação. A nível comunitário, a sociedade civil e as comunidades deslocadas desempenharão um papel fundamental através de atividades de monitorização baseadas na comunidade.</w:t>
      </w:r>
    </w:p>
    <w:p w:rsidR="00237DB5" w:rsidRDefault="00237DB5">
      <w:pPr>
        <w:pStyle w:val="Corpsdetexte"/>
        <w:rPr>
          <w:sz w:val="13"/>
        </w:rPr>
      </w:pPr>
    </w:p>
    <w:p w:rsidR="00237DB5" w:rsidRDefault="003F3594">
      <w:pPr>
        <w:tabs>
          <w:tab w:val="left" w:pos="9351"/>
        </w:tabs>
        <w:spacing w:before="106"/>
        <w:ind w:left="107"/>
        <w:rPr>
          <w:sz w:val="21"/>
        </w:rPr>
      </w:pPr>
      <w:r>
        <w:rPr>
          <w:rFonts w:ascii="Times New Roman" w:hAnsi="Times New Roman"/>
          <w:sz w:val="21"/>
          <w:shd w:val="clear" w:color="auto" w:fill="DEEAF6"/>
        </w:rPr>
        <w:t xml:space="preserve">  </w:t>
      </w:r>
      <w:r>
        <w:rPr>
          <w:sz w:val="21"/>
          <w:shd w:val="clear" w:color="auto" w:fill="DEEAF6"/>
        </w:rPr>
        <w:t>A LEI</w:t>
      </w:r>
      <w:r>
        <w:rPr>
          <w:sz w:val="21"/>
          <w:shd w:val="clear" w:color="auto" w:fill="DEEAF6"/>
        </w:rPr>
        <w:t xml:space="preserve"> SOBRE AS PDI DO QUÉNIA DE 2012 AINDA NÃO FOI IMPLEMENTADA</w:t>
      </w:r>
      <w:r>
        <w:rPr>
          <w:sz w:val="21"/>
          <w:shd w:val="clear" w:color="auto" w:fill="DEEAF6"/>
        </w:rPr>
        <w:tab/>
      </w:r>
    </w:p>
    <w:p w:rsidR="00237DB5" w:rsidRDefault="00237DB5">
      <w:pPr>
        <w:pStyle w:val="Corpsdetexte"/>
        <w:spacing w:before="8"/>
        <w:rPr>
          <w:sz w:val="16"/>
        </w:rPr>
      </w:pPr>
    </w:p>
    <w:p w:rsidR="00237DB5" w:rsidRDefault="003F3594">
      <w:pPr>
        <w:spacing w:before="107" w:line="288" w:lineRule="auto"/>
        <w:ind w:left="193"/>
        <w:rPr>
          <w:i/>
          <w:sz w:val="19"/>
        </w:rPr>
      </w:pPr>
      <w:r>
        <w:rPr>
          <w:i/>
          <w:sz w:val="19"/>
        </w:rPr>
        <w:t>O seguinte estudo de caso baseia-se, em grande medida, na análise do quadro legal no Quénia relativamente à proteção das PDI, no contexto da Convenção de Kampala e de outros quadros supranacionai</w:t>
      </w:r>
      <w:r>
        <w:rPr>
          <w:i/>
          <w:sz w:val="19"/>
        </w:rPr>
        <w:t xml:space="preserve">s, publicado em agosto de 2015. e está disponível em </w:t>
      </w:r>
      <w:hyperlink r:id="rId9">
        <w:r>
          <w:rPr>
            <w:i/>
            <w:color w:val="0563C1"/>
            <w:sz w:val="19"/>
            <w:u w:val="single" w:color="0563C1"/>
          </w:rPr>
          <w:t>http://goo.gl/xbNrfr</w:t>
        </w:r>
      </w:hyperlink>
      <w:r>
        <w:t>.</w:t>
      </w:r>
    </w:p>
    <w:p w:rsidR="00237DB5" w:rsidRDefault="00237DB5">
      <w:pPr>
        <w:pStyle w:val="Corpsdetexte"/>
        <w:spacing w:before="2"/>
        <w:rPr>
          <w:i/>
          <w:sz w:val="8"/>
        </w:rPr>
      </w:pPr>
    </w:p>
    <w:p w:rsidR="00237DB5" w:rsidRDefault="003F3594">
      <w:pPr>
        <w:pStyle w:val="Corpsdetexte"/>
        <w:spacing w:before="107" w:line="290" w:lineRule="auto"/>
        <w:ind w:left="193" w:right="301"/>
      </w:pPr>
      <w:r>
        <w:t>Após a deslocação em grande escala causada pela violência pós-eleitoral em 2007 e 2008, as autoridades quenianas desenvolveram um projeto de política sobre as PDI com o apoio do grupo de trabalho de proteção sobre as deslocações internas (GTPDI) e adotaram</w:t>
      </w:r>
      <w:r>
        <w:t xml:space="preserve"> a Lei de Prevenção, Proteção e Assistência a Pessoas Deslocadas Internamente e a Comunidades Afetadas, no final de 2012.</w:t>
      </w:r>
    </w:p>
    <w:p w:rsidR="00237DB5" w:rsidRDefault="003F3594">
      <w:pPr>
        <w:pStyle w:val="Corpsdetexte"/>
        <w:spacing w:before="197" w:line="290" w:lineRule="auto"/>
        <w:ind w:left="193" w:right="264"/>
      </w:pPr>
      <w:r>
        <w:t>Como tal, o Quénia está dotado de um instrumento sólido que tem o potencial de dar uma resposta abrangente às deslocações. Porém, três</w:t>
      </w:r>
      <w:r>
        <w:t xml:space="preserve"> anos após a adoção da lei, a situação nacional, institucional e legal ainda enfrenta vários desafios que ameaçam pôr em causa o que foi alcançado até à data.</w:t>
      </w:r>
    </w:p>
    <w:p w:rsidR="00237DB5" w:rsidRDefault="003F3594">
      <w:pPr>
        <w:pStyle w:val="Corpsdetexte"/>
        <w:spacing w:before="200" w:line="290" w:lineRule="auto"/>
        <w:ind w:left="193" w:right="264"/>
      </w:pPr>
      <w:r>
        <w:t>A política ainda não foi adotada e a implementação da lei ainda está numa fase inicial. Os quadro</w:t>
      </w:r>
      <w:r>
        <w:t>s normativos descoordenados e possivelmente concorrentes, sobretudo na área das catástrofes e da gestão de terras, arriscam abalar algumas das garantias previstas na lei. Também é provável que a ausência de uma política para articular os aspetos da ação do</w:t>
      </w:r>
      <w:r>
        <w:t xml:space="preserve"> governo e fundamentar os direitos das PDI continue a dificultar o sistema de resposta.</w:t>
      </w:r>
    </w:p>
    <w:p w:rsidR="00237DB5" w:rsidRDefault="003F3594">
      <w:pPr>
        <w:pStyle w:val="Corpsdetexte"/>
        <w:spacing w:before="202" w:line="290" w:lineRule="auto"/>
        <w:ind w:left="193" w:right="264"/>
      </w:pPr>
      <w:r>
        <w:t>A harmonização das diferentes propostas de legislação, tanto as implementadas, como as cuja adoção está pendente, e a garantia da coerência entre a lei e outros quadros</w:t>
      </w:r>
      <w:r>
        <w:t xml:space="preserve"> setoriais constituem parte integrante do esforço de implementação requerido por parte das autoridades quenianas. A adoção da política não só representa a conclusão de um processo que começou no rescaldo da crise de deslocação mais grave que o Quénia enfre</w:t>
      </w:r>
      <w:r>
        <w:t>ntou nos últimos anos. É também um componente fundamental da criação de um quadro de resposta credível e funcional.</w:t>
      </w:r>
    </w:p>
    <w:p w:rsidR="00237DB5" w:rsidRDefault="00237DB5">
      <w:pPr>
        <w:spacing w:line="290" w:lineRule="auto"/>
        <w:sectPr w:rsidR="00237DB5">
          <w:pgSz w:w="11900" w:h="16820"/>
          <w:pgMar w:top="1980" w:right="1200" w:bottom="280" w:left="1220" w:header="906" w:footer="0" w:gutter="0"/>
          <w:cols w:space="720"/>
        </w:sectPr>
      </w:pPr>
    </w:p>
    <w:p w:rsidR="00237DB5" w:rsidRDefault="00237DB5">
      <w:pPr>
        <w:pStyle w:val="Corpsdetexte"/>
        <w:spacing w:before="8"/>
        <w:rPr>
          <w:sz w:val="28"/>
        </w:rPr>
      </w:pPr>
    </w:p>
    <w:p w:rsidR="00237DB5" w:rsidRDefault="003F3594">
      <w:pPr>
        <w:pStyle w:val="Corpsdetexte"/>
        <w:spacing w:before="107" w:line="290" w:lineRule="auto"/>
        <w:ind w:left="193" w:right="301"/>
      </w:pPr>
      <w:r>
        <w:t>Após uma análise exaustiva da legislação, políticas e outros instrumentos nacionais em 15 áreas temáticas, o IDMC fez rec</w:t>
      </w:r>
      <w:r>
        <w:t>omendações ao governo queniano, à comunidade internacional e à sociedade civil que estão relacionadas tanto com a ação normativa, como com a implementação do quadro atual:</w:t>
      </w:r>
    </w:p>
    <w:p w:rsidR="00237DB5" w:rsidRDefault="003F3594">
      <w:pPr>
        <w:pStyle w:val="Corpsdetexte"/>
        <w:spacing w:before="199" w:line="288" w:lineRule="auto"/>
        <w:ind w:left="193"/>
      </w:pPr>
      <w:r>
        <w:t>Em termos de implementação, as recomendações estipulam que o comité nacional de coor</w:t>
      </w:r>
      <w:r>
        <w:t>denação consultiva (CNCC), o organismo incumbido do processo, deve: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3"/>
          <w:tab w:val="left" w:pos="914"/>
        </w:tabs>
        <w:spacing w:before="202" w:line="292" w:lineRule="auto"/>
        <w:ind w:right="314"/>
        <w:rPr>
          <w:sz w:val="19"/>
        </w:rPr>
      </w:pPr>
      <w:r>
        <w:rPr>
          <w:sz w:val="19"/>
        </w:rPr>
        <w:t>Criar canais de coordenação com outros organismos governamentais e não governamentais e reforçar a participação e a partilha de informação com os deslocados e as comunidades de acolhimento</w:t>
      </w:r>
      <w:r>
        <w:rPr>
          <w:sz w:val="19"/>
        </w:rPr>
        <w:t>.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3"/>
          <w:tab w:val="left" w:pos="914"/>
        </w:tabs>
        <w:spacing w:line="292" w:lineRule="auto"/>
        <w:ind w:right="299"/>
        <w:rPr>
          <w:sz w:val="19"/>
        </w:rPr>
      </w:pPr>
      <w:r>
        <w:rPr>
          <w:sz w:val="19"/>
        </w:rPr>
        <w:t>Afetar os recursos adequados para responder aos problemas das PDI, através de uma dotação do orçamento anual para o fundo humanitário nacional, e esclarecer a definição e uso do termo.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3"/>
          <w:tab w:val="left" w:pos="914"/>
        </w:tabs>
        <w:spacing w:line="292" w:lineRule="auto"/>
        <w:ind w:right="303"/>
        <w:rPr>
          <w:sz w:val="19"/>
        </w:rPr>
      </w:pPr>
      <w:r>
        <w:rPr>
          <w:sz w:val="19"/>
        </w:rPr>
        <w:t>Esclarecer de que forma se relaciona com as organizações de utilidade</w:t>
      </w:r>
      <w:r>
        <w:rPr>
          <w:sz w:val="19"/>
        </w:rPr>
        <w:t xml:space="preserve"> pública e agências da ONU que atuam no país, e com os delegados para representar os “agentes não estatais”.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3"/>
          <w:tab w:val="left" w:pos="914"/>
        </w:tabs>
        <w:spacing w:line="292" w:lineRule="auto"/>
        <w:ind w:right="447"/>
        <w:rPr>
          <w:sz w:val="19"/>
        </w:rPr>
      </w:pPr>
      <w:r>
        <w:rPr>
          <w:sz w:val="19"/>
        </w:rPr>
        <w:t>Estabelecer canais e procedimentos para interagir com os departamentos governamentais e comités e organismos intergovernamentais, tais como o comité executivo de resposta a catástrofes nacionais (CERC).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3"/>
          <w:tab w:val="left" w:pos="914"/>
        </w:tabs>
        <w:spacing w:line="290" w:lineRule="auto"/>
        <w:ind w:right="305"/>
        <w:rPr>
          <w:sz w:val="19"/>
        </w:rPr>
      </w:pPr>
      <w:r>
        <w:rPr>
          <w:sz w:val="19"/>
        </w:rPr>
        <w:t>Criar e manter linhas regulares e sistemáticas de com</w:t>
      </w:r>
      <w:r>
        <w:rPr>
          <w:sz w:val="19"/>
        </w:rPr>
        <w:t>unicação com as PDI, agências humanitárias, organizações da sociedade civil e outros intervenientes que trabalham de perto com as PDI, com vista a facilitar o fluxo de informação e assegurar a sua participação eficaz nos processos de tomada de decisões.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3"/>
          <w:tab w:val="left" w:pos="914"/>
        </w:tabs>
        <w:spacing w:line="290" w:lineRule="auto"/>
        <w:ind w:right="263"/>
        <w:rPr>
          <w:sz w:val="19"/>
        </w:rPr>
      </w:pPr>
      <w:r>
        <w:rPr>
          <w:sz w:val="19"/>
        </w:rPr>
        <w:t>To</w:t>
      </w:r>
      <w:r>
        <w:rPr>
          <w:sz w:val="19"/>
        </w:rPr>
        <w:t>mar medidas para assegurar a recolha e verificação abrangente de dados. Isto deve ser efetuado através de exercícios fiáveis coordenados pelo CNCC e executados com a participação direta do Gabinete Nacional de Estatística.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3"/>
          <w:tab w:val="left" w:pos="914"/>
        </w:tabs>
        <w:spacing w:line="290" w:lineRule="auto"/>
        <w:ind w:right="375"/>
        <w:rPr>
          <w:sz w:val="19"/>
        </w:rPr>
      </w:pPr>
      <w:r>
        <w:rPr>
          <w:sz w:val="19"/>
        </w:rPr>
        <w:t>Especificar melhor a função das a</w:t>
      </w:r>
      <w:r>
        <w:rPr>
          <w:sz w:val="19"/>
        </w:rPr>
        <w:t>utoridades distritais na resposta às deslocações, garantindo a colaboração e coordenação entre os governos distritais e nacionais no planeamento e prestação de serviços que respondem aos problemas de deslocação e ao facilitar os acordos de resolução de con</w:t>
      </w:r>
      <w:r>
        <w:rPr>
          <w:sz w:val="19"/>
        </w:rPr>
        <w:t>flitos que visam tanto as PDI, como outros afetados pela deslocação.</w:t>
      </w:r>
    </w:p>
    <w:p w:rsidR="00237DB5" w:rsidRDefault="003F3594">
      <w:pPr>
        <w:pStyle w:val="Paragraphedeliste"/>
        <w:numPr>
          <w:ilvl w:val="0"/>
          <w:numId w:val="1"/>
        </w:numPr>
        <w:tabs>
          <w:tab w:val="left" w:pos="914"/>
        </w:tabs>
        <w:spacing w:line="290" w:lineRule="auto"/>
        <w:ind w:right="238"/>
        <w:jc w:val="both"/>
        <w:rPr>
          <w:sz w:val="19"/>
        </w:rPr>
      </w:pPr>
      <w:r>
        <w:rPr>
          <w:sz w:val="19"/>
        </w:rPr>
        <w:t>Desvalorizar a noção de que as soluções duradouras para as PDI só podem ser obtidas através da aquisição e atribuição de terras e assegurar que são exploradas opções alternativas em consu</w:t>
      </w:r>
      <w:r>
        <w:rPr>
          <w:sz w:val="19"/>
        </w:rPr>
        <w:t>ltas significativas com as PDI e outras comunidades afetadas.</w:t>
      </w:r>
    </w:p>
    <w:sectPr w:rsidR="00237DB5">
      <w:pgSz w:w="11900" w:h="16820"/>
      <w:pgMar w:top="1980" w:right="1200" w:bottom="280" w:left="1220" w:header="90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F3594">
      <w:r>
        <w:separator/>
      </w:r>
    </w:p>
  </w:endnote>
  <w:endnote w:type="continuationSeparator" w:id="0">
    <w:p w:rsidR="00000000" w:rsidRDefault="003F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F3594">
      <w:r>
        <w:separator/>
      </w:r>
    </w:p>
  </w:footnote>
  <w:footnote w:type="continuationSeparator" w:id="0">
    <w:p w:rsidR="00000000" w:rsidRDefault="003F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DB5" w:rsidRDefault="003F3594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82368" behindDoc="1" locked="0" layoutInCell="1" allowOverlap="1">
          <wp:simplePos x="0" y="0"/>
          <wp:positionH relativeFrom="page">
            <wp:posOffset>2203829</wp:posOffset>
          </wp:positionH>
          <wp:positionV relativeFrom="page">
            <wp:posOffset>575054</wp:posOffset>
          </wp:positionV>
          <wp:extent cx="660400" cy="68264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400" cy="6826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82880" behindDoc="1" locked="0" layoutInCell="1" allowOverlap="1">
          <wp:simplePos x="0" y="0"/>
          <wp:positionH relativeFrom="page">
            <wp:posOffset>5761101</wp:posOffset>
          </wp:positionH>
          <wp:positionV relativeFrom="page">
            <wp:posOffset>587754</wp:posOffset>
          </wp:positionV>
          <wp:extent cx="685800" cy="66040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85800" cy="66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83392" behindDoc="1" locked="0" layoutInCell="1" allowOverlap="1">
          <wp:simplePos x="0" y="0"/>
          <wp:positionH relativeFrom="page">
            <wp:posOffset>898272</wp:posOffset>
          </wp:positionH>
          <wp:positionV relativeFrom="page">
            <wp:posOffset>590929</wp:posOffset>
          </wp:positionV>
          <wp:extent cx="1154544" cy="657225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154544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83904" behindDoc="1" locked="0" layoutInCell="1" allowOverlap="1">
          <wp:simplePos x="0" y="0"/>
          <wp:positionH relativeFrom="page">
            <wp:posOffset>4506339</wp:posOffset>
          </wp:positionH>
          <wp:positionV relativeFrom="page">
            <wp:posOffset>778254</wp:posOffset>
          </wp:positionV>
          <wp:extent cx="1104900" cy="279400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104900" cy="279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84416" behindDoc="1" locked="0" layoutInCell="1" allowOverlap="1">
          <wp:simplePos x="0" y="0"/>
          <wp:positionH relativeFrom="page">
            <wp:posOffset>3227666</wp:posOffset>
          </wp:positionH>
          <wp:positionV relativeFrom="page">
            <wp:posOffset>802095</wp:posOffset>
          </wp:positionV>
          <wp:extent cx="1140027" cy="242859"/>
          <wp:effectExtent l="0" t="0" r="0" b="0"/>
          <wp:wrapNone/>
          <wp:docPr id="9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140027" cy="2428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6DFE"/>
    <w:multiLevelType w:val="hybridMultilevel"/>
    <w:tmpl w:val="0E540F8E"/>
    <w:lvl w:ilvl="0" w:tplc="05F607B2">
      <w:start w:val="1"/>
      <w:numFmt w:val="decimal"/>
      <w:lvlText w:val="%1."/>
      <w:lvlJc w:val="left"/>
      <w:pPr>
        <w:ind w:left="913" w:hanging="360"/>
        <w:jc w:val="left"/>
      </w:pPr>
      <w:rPr>
        <w:rFonts w:ascii="Calibri" w:eastAsia="Calibri" w:hAnsi="Calibri" w:cs="Calibri" w:hint="default"/>
        <w:color w:val="44546A"/>
        <w:spacing w:val="0"/>
        <w:w w:val="103"/>
        <w:sz w:val="19"/>
        <w:szCs w:val="19"/>
      </w:rPr>
    </w:lvl>
    <w:lvl w:ilvl="1" w:tplc="ABEA9BF4">
      <w:numFmt w:val="bullet"/>
      <w:lvlText w:val="•"/>
      <w:lvlJc w:val="left"/>
      <w:pPr>
        <w:ind w:left="1776" w:hanging="360"/>
      </w:pPr>
      <w:rPr>
        <w:rFonts w:hint="default"/>
      </w:rPr>
    </w:lvl>
    <w:lvl w:ilvl="2" w:tplc="54EE9636">
      <w:numFmt w:val="bullet"/>
      <w:lvlText w:val="•"/>
      <w:lvlJc w:val="left"/>
      <w:pPr>
        <w:ind w:left="2632" w:hanging="360"/>
      </w:pPr>
      <w:rPr>
        <w:rFonts w:hint="default"/>
      </w:rPr>
    </w:lvl>
    <w:lvl w:ilvl="3" w:tplc="FD427040">
      <w:numFmt w:val="bullet"/>
      <w:lvlText w:val="•"/>
      <w:lvlJc w:val="left"/>
      <w:pPr>
        <w:ind w:left="3488" w:hanging="360"/>
      </w:pPr>
      <w:rPr>
        <w:rFonts w:hint="default"/>
      </w:rPr>
    </w:lvl>
    <w:lvl w:ilvl="4" w:tplc="E67E1DDC">
      <w:numFmt w:val="bullet"/>
      <w:lvlText w:val="•"/>
      <w:lvlJc w:val="left"/>
      <w:pPr>
        <w:ind w:left="4344" w:hanging="360"/>
      </w:pPr>
      <w:rPr>
        <w:rFonts w:hint="default"/>
      </w:rPr>
    </w:lvl>
    <w:lvl w:ilvl="5" w:tplc="0158D4BE">
      <w:numFmt w:val="bullet"/>
      <w:lvlText w:val="•"/>
      <w:lvlJc w:val="left"/>
      <w:pPr>
        <w:ind w:left="5200" w:hanging="360"/>
      </w:pPr>
      <w:rPr>
        <w:rFonts w:hint="default"/>
      </w:rPr>
    </w:lvl>
    <w:lvl w:ilvl="6" w:tplc="3EE2DEAA"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CBCA9F34">
      <w:numFmt w:val="bullet"/>
      <w:lvlText w:val="•"/>
      <w:lvlJc w:val="left"/>
      <w:pPr>
        <w:ind w:left="6912" w:hanging="360"/>
      </w:pPr>
      <w:rPr>
        <w:rFonts w:hint="default"/>
      </w:rPr>
    </w:lvl>
    <w:lvl w:ilvl="8" w:tplc="297853F2">
      <w:numFmt w:val="bullet"/>
      <w:lvlText w:val="•"/>
      <w:lvlJc w:val="left"/>
      <w:pPr>
        <w:ind w:left="7768" w:hanging="360"/>
      </w:pPr>
      <w:rPr>
        <w:rFonts w:hint="default"/>
      </w:rPr>
    </w:lvl>
  </w:abstractNum>
  <w:abstractNum w:abstractNumId="1" w15:restartNumberingAfterBreak="0">
    <w:nsid w:val="2E787151"/>
    <w:multiLevelType w:val="hybridMultilevel"/>
    <w:tmpl w:val="E05261CA"/>
    <w:lvl w:ilvl="0" w:tplc="2180B806">
      <w:numFmt w:val="bullet"/>
      <w:lvlText w:val="•"/>
      <w:lvlJc w:val="left"/>
      <w:pPr>
        <w:ind w:left="408" w:hanging="171"/>
      </w:pPr>
      <w:rPr>
        <w:rFonts w:ascii="Calibri" w:eastAsia="Calibri" w:hAnsi="Calibri" w:cs="Calibri" w:hint="default"/>
        <w:w w:val="102"/>
        <w:sz w:val="24"/>
        <w:szCs w:val="24"/>
      </w:rPr>
    </w:lvl>
    <w:lvl w:ilvl="1" w:tplc="5B0E81EA">
      <w:numFmt w:val="bullet"/>
      <w:lvlText w:val="•"/>
      <w:lvlJc w:val="left"/>
      <w:pPr>
        <w:ind w:left="1132" w:hanging="171"/>
      </w:pPr>
      <w:rPr>
        <w:rFonts w:hint="default"/>
      </w:rPr>
    </w:lvl>
    <w:lvl w:ilvl="2" w:tplc="516E44C8">
      <w:numFmt w:val="bullet"/>
      <w:lvlText w:val="•"/>
      <w:lvlJc w:val="left"/>
      <w:pPr>
        <w:ind w:left="1863" w:hanging="171"/>
      </w:pPr>
      <w:rPr>
        <w:rFonts w:hint="default"/>
      </w:rPr>
    </w:lvl>
    <w:lvl w:ilvl="3" w:tplc="43D6E79C">
      <w:numFmt w:val="bullet"/>
      <w:lvlText w:val="•"/>
      <w:lvlJc w:val="left"/>
      <w:pPr>
        <w:ind w:left="2595" w:hanging="171"/>
      </w:pPr>
      <w:rPr>
        <w:rFonts w:hint="default"/>
      </w:rPr>
    </w:lvl>
    <w:lvl w:ilvl="4" w:tplc="F576565A">
      <w:numFmt w:val="bullet"/>
      <w:lvlText w:val="•"/>
      <w:lvlJc w:val="left"/>
      <w:pPr>
        <w:ind w:left="3327" w:hanging="171"/>
      </w:pPr>
      <w:rPr>
        <w:rFonts w:hint="default"/>
      </w:rPr>
    </w:lvl>
    <w:lvl w:ilvl="5" w:tplc="4112A19E">
      <w:numFmt w:val="bullet"/>
      <w:lvlText w:val="•"/>
      <w:lvlJc w:val="left"/>
      <w:pPr>
        <w:ind w:left="4059" w:hanging="171"/>
      </w:pPr>
      <w:rPr>
        <w:rFonts w:hint="default"/>
      </w:rPr>
    </w:lvl>
    <w:lvl w:ilvl="6" w:tplc="A420033A">
      <w:numFmt w:val="bullet"/>
      <w:lvlText w:val="•"/>
      <w:lvlJc w:val="left"/>
      <w:pPr>
        <w:ind w:left="4791" w:hanging="171"/>
      </w:pPr>
      <w:rPr>
        <w:rFonts w:hint="default"/>
      </w:rPr>
    </w:lvl>
    <w:lvl w:ilvl="7" w:tplc="0C4C2540">
      <w:numFmt w:val="bullet"/>
      <w:lvlText w:val="•"/>
      <w:lvlJc w:val="left"/>
      <w:pPr>
        <w:ind w:left="5523" w:hanging="171"/>
      </w:pPr>
      <w:rPr>
        <w:rFonts w:hint="default"/>
      </w:rPr>
    </w:lvl>
    <w:lvl w:ilvl="8" w:tplc="86C2412E">
      <w:numFmt w:val="bullet"/>
      <w:lvlText w:val="•"/>
      <w:lvlJc w:val="left"/>
      <w:pPr>
        <w:ind w:left="6255" w:hanging="171"/>
      </w:pPr>
      <w:rPr>
        <w:rFonts w:hint="default"/>
      </w:rPr>
    </w:lvl>
  </w:abstractNum>
  <w:abstractNum w:abstractNumId="2" w15:restartNumberingAfterBreak="0">
    <w:nsid w:val="734A1F16"/>
    <w:multiLevelType w:val="hybridMultilevel"/>
    <w:tmpl w:val="A17CC106"/>
    <w:lvl w:ilvl="0" w:tplc="A922098A">
      <w:numFmt w:val="bullet"/>
      <w:lvlText w:val="•"/>
      <w:lvlJc w:val="left"/>
      <w:pPr>
        <w:ind w:left="274" w:hanging="171"/>
      </w:pPr>
      <w:rPr>
        <w:rFonts w:ascii="Calibri" w:eastAsia="Calibri" w:hAnsi="Calibri" w:cs="Calibri" w:hint="default"/>
        <w:w w:val="102"/>
        <w:sz w:val="24"/>
        <w:szCs w:val="24"/>
      </w:rPr>
    </w:lvl>
    <w:lvl w:ilvl="1" w:tplc="44304C92">
      <w:numFmt w:val="bullet"/>
      <w:lvlText w:val="•"/>
      <w:lvlJc w:val="left"/>
      <w:pPr>
        <w:ind w:left="419" w:hanging="171"/>
      </w:pPr>
      <w:rPr>
        <w:rFonts w:ascii="Calibri" w:eastAsia="Calibri" w:hAnsi="Calibri" w:cs="Calibri" w:hint="default"/>
        <w:w w:val="102"/>
        <w:sz w:val="24"/>
        <w:szCs w:val="24"/>
      </w:rPr>
    </w:lvl>
    <w:lvl w:ilvl="2" w:tplc="CC26437A">
      <w:numFmt w:val="bullet"/>
      <w:lvlText w:val=""/>
      <w:lvlJc w:val="left"/>
      <w:pPr>
        <w:ind w:left="913" w:hanging="360"/>
      </w:pPr>
      <w:rPr>
        <w:rFonts w:ascii="Wingdings" w:eastAsia="Wingdings" w:hAnsi="Wingdings" w:cs="Wingdings" w:hint="default"/>
        <w:color w:val="1F4E79"/>
        <w:w w:val="103"/>
        <w:sz w:val="19"/>
        <w:szCs w:val="19"/>
      </w:rPr>
    </w:lvl>
    <w:lvl w:ilvl="3" w:tplc="FD728DC6">
      <w:numFmt w:val="bullet"/>
      <w:lvlText w:val="•"/>
      <w:lvlJc w:val="left"/>
      <w:pPr>
        <w:ind w:left="1753" w:hanging="360"/>
      </w:pPr>
      <w:rPr>
        <w:rFonts w:hint="default"/>
      </w:rPr>
    </w:lvl>
    <w:lvl w:ilvl="4" w:tplc="81204D9A">
      <w:numFmt w:val="bullet"/>
      <w:lvlText w:val="•"/>
      <w:lvlJc w:val="left"/>
      <w:pPr>
        <w:ind w:left="2586" w:hanging="360"/>
      </w:pPr>
      <w:rPr>
        <w:rFonts w:hint="default"/>
      </w:rPr>
    </w:lvl>
    <w:lvl w:ilvl="5" w:tplc="5AF85542">
      <w:numFmt w:val="bullet"/>
      <w:lvlText w:val="•"/>
      <w:lvlJc w:val="left"/>
      <w:pPr>
        <w:ind w:left="3419" w:hanging="360"/>
      </w:pPr>
      <w:rPr>
        <w:rFonts w:hint="default"/>
      </w:rPr>
    </w:lvl>
    <w:lvl w:ilvl="6" w:tplc="166EF74E">
      <w:numFmt w:val="bullet"/>
      <w:lvlText w:val="•"/>
      <w:lvlJc w:val="left"/>
      <w:pPr>
        <w:ind w:left="4253" w:hanging="360"/>
      </w:pPr>
      <w:rPr>
        <w:rFonts w:hint="default"/>
      </w:rPr>
    </w:lvl>
    <w:lvl w:ilvl="7" w:tplc="05364FFA">
      <w:numFmt w:val="bullet"/>
      <w:lvlText w:val="•"/>
      <w:lvlJc w:val="left"/>
      <w:pPr>
        <w:ind w:left="5086" w:hanging="360"/>
      </w:pPr>
      <w:rPr>
        <w:rFonts w:hint="default"/>
      </w:rPr>
    </w:lvl>
    <w:lvl w:ilvl="8" w:tplc="8B8E6E48">
      <w:numFmt w:val="bullet"/>
      <w:lvlText w:val="•"/>
      <w:lvlJc w:val="left"/>
      <w:pPr>
        <w:ind w:left="5919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DB5"/>
    <w:rsid w:val="00237DB5"/>
    <w:rsid w:val="003F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3B5DF03D"/>
  <w15:docId w15:val="{FC501D64-2C5F-4599-8820-3C3991AD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itre1">
    <w:name w:val="heading 1"/>
    <w:basedOn w:val="Normal"/>
    <w:uiPriority w:val="9"/>
    <w:qFormat/>
    <w:pPr>
      <w:spacing w:before="9"/>
      <w:ind w:left="408" w:hanging="171"/>
      <w:outlineLvl w:val="0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9"/>
      <w:szCs w:val="19"/>
    </w:rPr>
  </w:style>
  <w:style w:type="paragraph" w:styleId="Titre">
    <w:name w:val="Title"/>
    <w:basedOn w:val="Normal"/>
    <w:uiPriority w:val="10"/>
    <w:qFormat/>
    <w:pPr>
      <w:ind w:left="193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ind w:left="91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oo.gl/Lx2TQxk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oo.gl/xbNrfr.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1288</Words>
  <Characters>7090</Characters>
  <Application>Microsoft Office Word</Application>
  <DocSecurity>0</DocSecurity>
  <Lines>59</Lines>
  <Paragraphs>16</Paragraphs>
  <ScaleCrop>false</ScaleCrop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2021-01-20T14:35:00Z</dcterms:created>
  <dcterms:modified xsi:type="dcterms:W3CDTF">2021-01-20T14:35:00Z</dcterms:modified>
</cp:coreProperties>
</file>